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D4D3" w14:textId="486BAB5D" w:rsidR="00E73105" w:rsidRDefault="00E73105" w:rsidP="00E73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Acceptance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Commitment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Obsessive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Compulsive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Disorder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Cases</w:t>
      </w:r>
    </w:p>
    <w:p w14:paraId="542B815C" w14:textId="77777777" w:rsidR="00E73105" w:rsidRDefault="00E73105" w:rsidP="00E73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0E970B" w14:textId="77777777" w:rsidR="00E73105" w:rsidRDefault="00E73105" w:rsidP="00E73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27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Luana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Laurito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a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Carla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Pereira Loureiro,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Faro,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Rafaela Venâncio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Dias,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Bianca Torres,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Maria Eduarda Moreira-de-Oliveira,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a,b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Samara dos Santos-Ribeiro,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Gabriela B. de Menezes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a,b,c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Leonardo F. Fontenelle,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a,b,c,d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Carter H. Davis,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Michael P.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Twohig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e</w:t>
      </w:r>
    </w:p>
    <w:p w14:paraId="5EC534B2" w14:textId="77777777" w:rsidR="00E73105" w:rsidRDefault="00E73105" w:rsidP="00E73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270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14:paraId="4E83773E" w14:textId="77777777" w:rsidR="00E73105" w:rsidRDefault="00E73105" w:rsidP="00E73105">
      <w:pPr>
        <w:widowControl w:val="0"/>
        <w:spacing w:before="1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Anxiety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Spectrum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Psychiatry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Federal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Rio de Janeiro, Av. Venceslau Brás, 71 - Botafogo, Rio de Janeiro - RJ, 22290-140,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</w:p>
    <w:p w14:paraId="2482528D" w14:textId="77777777" w:rsidR="00E73105" w:rsidRDefault="00E73105" w:rsidP="00E73105">
      <w:pPr>
        <w:widowControl w:val="0"/>
        <w:spacing w:before="1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>D’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Rua Diniz Cordeiro, 30 - Botafogo, Rio de Janeiro - RJ, 22281-100,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</w:p>
    <w:p w14:paraId="36A5BA93" w14:textId="77777777" w:rsidR="00E73105" w:rsidRDefault="00E73105" w:rsidP="00E73105">
      <w:pPr>
        <w:widowControl w:val="0"/>
        <w:spacing w:before="1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Psychiatry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 Health, Fluminense Federal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Av. Marquês do Paraná, 303, Centro, Niterói - RJ, 24033-900,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</w:p>
    <w:p w14:paraId="0EF35A98" w14:textId="77777777" w:rsidR="00E73105" w:rsidRDefault="00E73105" w:rsidP="00E73105">
      <w:pPr>
        <w:widowControl w:val="0"/>
        <w:spacing w:before="1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Psychiatry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246 Clayton Rd Clayton, VIC 3168,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Australia</w:t>
      </w:r>
      <w:proofErr w:type="spellEnd"/>
    </w:p>
    <w:p w14:paraId="28E72DBF" w14:textId="77777777" w:rsidR="00E73105" w:rsidRDefault="00E73105" w:rsidP="00E73105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2810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Hill | Logan, UT 84322</w:t>
      </w:r>
    </w:p>
    <w:p w14:paraId="47D2B886" w14:textId="77777777" w:rsidR="00E73105" w:rsidRDefault="00E73105" w:rsidP="00E73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DD919" w14:textId="77777777" w:rsidR="00E73105" w:rsidRDefault="00E73105" w:rsidP="00E73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Corresponding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Author</w:t>
      </w:r>
      <w:proofErr w:type="spellEnd"/>
    </w:p>
    <w:p w14:paraId="1A7E8DEB" w14:textId="77777777" w:rsidR="00E73105" w:rsidRDefault="00E73105" w:rsidP="00E73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Luana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</w:p>
    <w:p w14:paraId="04173157" w14:textId="77777777" w:rsidR="00E73105" w:rsidRDefault="00E73105" w:rsidP="00E73105">
      <w:pPr>
        <w:widowControl w:val="0"/>
        <w:spacing w:before="1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Anxiety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Spectrum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Psychiatry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Federal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Rio de Janeiro, Av. Venceslau Brás, 71 - Botafogo, Rio de Janeiro - RJ, 22290-140,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CC763B" w14:textId="77777777" w:rsidR="00E73105" w:rsidRDefault="00E73105" w:rsidP="00E73105">
      <w:pPr>
        <w:widowControl w:val="0"/>
        <w:spacing w:before="10"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luana_laurito@yahoo.com.br</w:t>
      </w:r>
    </w:p>
    <w:p w14:paraId="26E05B93" w14:textId="77777777" w:rsidR="00E73105" w:rsidRDefault="00E73105" w:rsidP="00E73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Funding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source</w:t>
      </w:r>
      <w:proofErr w:type="spellEnd"/>
    </w:p>
    <w:p w14:paraId="0825DB57" w14:textId="77777777" w:rsidR="00E73105" w:rsidRDefault="00E73105" w:rsidP="00E73105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Leonardo F. Fontenelle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Conselho Nacional de Desenvolvimento Científico e Tecnológico (Grant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302526/2018-8), Fundação de Amparo à Pesquisa do Estado do Rio de Janeiro, (Grant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CNE E-26/203.052/2017);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Luana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Carla Pereira Loureiro, Rafaela Venâncio Dias, Maria Eduarda Moreira-de-Oliveira,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Samara dos Santos-Ribeiro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Coordenação de Aperfeiçoamento de Pessoal de Nível Superior - Brasil (CAPES)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AAD665" w14:textId="2F5C5047" w:rsidR="00E73105" w:rsidRDefault="00E731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92819A" w14:textId="77777777" w:rsidR="00E73105" w:rsidRDefault="00E73105">
      <w:pPr>
        <w:pStyle w:val="Heading1"/>
        <w:spacing w:before="159" w:line="276" w:lineRule="auto"/>
        <w:ind w:left="0"/>
        <w:jc w:val="center"/>
        <w:rPr>
          <w:rFonts w:ascii="Times New Roman" w:eastAsia="Times New Roman" w:hAnsi="Times New Roman" w:cs="Times New Roman"/>
        </w:rPr>
      </w:pPr>
    </w:p>
    <w:p w14:paraId="2BCA0854" w14:textId="7C0C79D5" w:rsidR="00477B06" w:rsidRDefault="005A00C2">
      <w:pPr>
        <w:pStyle w:val="Heading1"/>
        <w:spacing w:before="159" w:line="276" w:lineRule="auto"/>
        <w:ind w:left="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Acceptance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Commitment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Therapy</w:t>
      </w:r>
      <w:proofErr w:type="spellEnd"/>
      <w:r>
        <w:rPr>
          <w:rFonts w:ascii="Times New Roman" w:eastAsia="Times New Roman" w:hAnsi="Times New Roman" w:cs="Times New Roman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</w:rPr>
        <w:t>Obsessive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Compulsive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Disorder</w:t>
      </w:r>
      <w:proofErr w:type="spellEnd"/>
      <w:r>
        <w:rPr>
          <w:rFonts w:ascii="Times New Roman" w:eastAsia="Times New Roman" w:hAnsi="Times New Roman" w:cs="Times New Roman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</w:rPr>
        <w:t>Brazilian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Context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Treatment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Three</w:t>
      </w:r>
      <w:proofErr w:type="spellEnd"/>
      <w:r>
        <w:rPr>
          <w:rFonts w:ascii="Times New Roman" w:eastAsia="Times New Roman" w:hAnsi="Times New Roman" w:cs="Times New Roman"/>
        </w:rPr>
        <w:t xml:space="preserve"> Cases</w:t>
      </w:r>
    </w:p>
    <w:p w14:paraId="00AE397D" w14:textId="77777777" w:rsidR="00477B06" w:rsidRDefault="00477B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02203" w14:textId="77777777" w:rsidR="00477B06" w:rsidRDefault="00477B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85B05F" w14:textId="77777777" w:rsidR="00477B06" w:rsidRDefault="005A00C2">
      <w:pPr>
        <w:pStyle w:val="Heading1"/>
        <w:spacing w:before="159" w:line="480" w:lineRule="auto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Abstract</w:t>
      </w:r>
    </w:p>
    <w:p w14:paraId="56CC054D" w14:textId="77777777" w:rsidR="00477B06" w:rsidRDefault="005A00C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combination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Commitment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(ACT)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Response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(ERP)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(OCD).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for OCD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American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socio-cultural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influences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symptomatology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for OCD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 in Rio De Janeiro,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decreased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 scores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follow-up,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for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positive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flexibility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reflect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systems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shows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approach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z w:val="24"/>
          <w:szCs w:val="24"/>
        </w:rPr>
        <w:t>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future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American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F43E2D" w14:textId="77777777" w:rsidR="00477B06" w:rsidRDefault="00477B0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23112" w14:textId="77777777" w:rsidR="00477B06" w:rsidRDefault="00477B0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14898" w14:textId="77777777" w:rsidR="00477B06" w:rsidRDefault="00477B0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ACCE2" w14:textId="77777777" w:rsidR="00477B06" w:rsidRDefault="005A00C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Commitment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C2AF87" w14:textId="77777777" w:rsidR="00477B06" w:rsidRDefault="00477B0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49513" w14:textId="77777777" w:rsidR="00477B06" w:rsidRDefault="00477B06">
      <w:pPr>
        <w:pStyle w:val="Heading1"/>
        <w:spacing w:before="159" w:line="480" w:lineRule="auto"/>
        <w:ind w:left="0"/>
        <w:rPr>
          <w:rFonts w:ascii="Times New Roman" w:eastAsia="Times New Roman" w:hAnsi="Times New Roman" w:cs="Times New Roman"/>
        </w:rPr>
      </w:pPr>
    </w:p>
    <w:p w14:paraId="7167DB3B" w14:textId="77777777" w:rsidR="00477B06" w:rsidRDefault="00477B06">
      <w:pPr>
        <w:pStyle w:val="Heading1"/>
        <w:spacing w:before="159" w:line="480" w:lineRule="auto"/>
        <w:ind w:left="0"/>
        <w:jc w:val="center"/>
        <w:rPr>
          <w:rFonts w:ascii="Times New Roman" w:eastAsia="Times New Roman" w:hAnsi="Times New Roman" w:cs="Times New Roman"/>
        </w:rPr>
      </w:pPr>
    </w:p>
    <w:p w14:paraId="385264C3" w14:textId="77777777" w:rsidR="00477B06" w:rsidRDefault="005A00C2">
      <w:pPr>
        <w:pStyle w:val="Heading1"/>
        <w:spacing w:before="159" w:line="480" w:lineRule="auto"/>
        <w:ind w:left="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Introduction</w:t>
      </w:r>
      <w:proofErr w:type="spellEnd"/>
    </w:p>
    <w:p w14:paraId="4BF07045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Obsessive-compulsi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(OCD)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involves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recurrent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unwanted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experiences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neutralized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engaging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compulsions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compulsions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occur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high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intensity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frequency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functioning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greatly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Meta-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response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(ERP)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OCD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Abramowitz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Jacoby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2015).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Commitment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(ACT)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distinct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approach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framing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ERP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Twohig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et al., 2015).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emphasizes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willingness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experience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anxiety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relate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aversive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OCD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Twohig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et al., 2015).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only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study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date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compare ACT-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based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exposure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for OCD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ERP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alone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, 58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adults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were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randomly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assigned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one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two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conditions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were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treated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in 16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two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-hour individual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sessions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Twohig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et al, 2018). Overall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outcomes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were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strong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68%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those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in ERP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70%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those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in ACT+ERP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considered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treatment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responders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Results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were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maintained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at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six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month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follow-up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ERP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having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a 64% response rate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ACT+ERP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having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a 60% response rate.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These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findings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plus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many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other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ACT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alone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ACT+ERP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trials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(e.g.,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Bluett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Homan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, Morrison,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Levin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Twohig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, 2014;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al.,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019) show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0FE254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While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there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many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models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exposure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(e.g.,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habituation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inhibitory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) ACT-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exposures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notable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empirical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theoretical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ports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(e.g.,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Arch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Eifert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, Davies,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Vilardaga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, Rose, &amp;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Craske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2012;  </w:t>
      </w:r>
      <w:r>
        <w:rPr>
          <w:rFonts w:ascii="Times New Roman" w:eastAsia="Times New Roman" w:hAnsi="Times New Roman" w:cs="Times New Roman"/>
          <w:sz w:val="24"/>
          <w:szCs w:val="24"/>
        </w:rPr>
        <w:t>Thompson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LeJeune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2013</w:t>
      </w: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Twohig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et al., 2015). In general,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ACT-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model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exposure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uses in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out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session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exposure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exercises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opportunities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practice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buil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ding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psychological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flexibility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Consistent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ACT’s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focus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increasing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functioning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quality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life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, overall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outcome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lastRenderedPageBreak/>
        <w:t>goals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for ACT-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based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exposures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learn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function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anxiety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obsessions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Severity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intensity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situational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sensitivity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are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less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issue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than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one’s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ability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effectively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live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while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myriad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internal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experiences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present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Relatedly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exposures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tied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values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clients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usually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practice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engaging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have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some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inherent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related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meaning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o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client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Integrating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ACT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aims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increase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clients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willingness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engage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exposure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exercises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promote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a more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purposeful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connection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treatment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.</w:t>
      </w:r>
    </w:p>
    <w:p w14:paraId="166A9380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occurring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country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2020).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Noneth</w:t>
      </w:r>
      <w:r>
        <w:rPr>
          <w:rFonts w:ascii="Times New Roman" w:eastAsia="Times New Roman" w:hAnsi="Times New Roman" w:cs="Times New Roman"/>
          <w:sz w:val="24"/>
          <w:szCs w:val="24"/>
        </w:rPr>
        <w:t>eless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countries.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particular countries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ACT for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North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Iran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Rohani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al., 2018;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al., 2019;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Vakili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al., 2015).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readership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countries.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for OCD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countries,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unfortunate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gap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for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A946F5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z w:val="24"/>
          <w:szCs w:val="24"/>
        </w:rPr>
        <w:t>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American country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over 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inhabitants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particular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show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characteristics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consequence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socio-cultural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influences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Wetterneck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al., 2012).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nducted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Rio de Janeiro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treatment-seeking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(Fontenelle et al., 2004)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aggression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consistent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Petribú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&amp;  Bastos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1997; Del Porto, 1994).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its high rates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homicide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deaths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traffic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accidents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treatment-seeking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likewise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anxiety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comorbidity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frequent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U.S.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(Medeiros et al., 2017).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OCD,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general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financial,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religious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governmental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for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z w:val="24"/>
          <w:szCs w:val="24"/>
        </w:rPr>
        <w:t>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U.S.-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ACT for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613D3FC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multifaceted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successfully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its particular social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cultural,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(Smith et al., 2011,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Woidneck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al., 2012).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for OCD for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examining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for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delivered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reflect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B8401D" w14:textId="77777777" w:rsidR="00477B06" w:rsidRDefault="00477B06">
      <w:pPr>
        <w:spacing w:before="159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08301" w14:textId="77777777" w:rsidR="00477B06" w:rsidRDefault="005A00C2">
      <w:pPr>
        <w:spacing w:before="159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Methods</w:t>
      </w:r>
      <w:proofErr w:type="spellEnd"/>
    </w:p>
    <w:p w14:paraId="012EC1D7" w14:textId="77777777" w:rsidR="00477B06" w:rsidRDefault="005A00C2">
      <w:pPr>
        <w:spacing w:before="159"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Participants</w:t>
      </w:r>
      <w:proofErr w:type="spellEnd"/>
    </w:p>
    <w:p w14:paraId="79CF0DF9" w14:textId="77777777" w:rsidR="00477B06" w:rsidRDefault="005A00C2">
      <w:pPr>
        <w:spacing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recruited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Rio de Janeiro.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(i)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diagnosis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Neuropsychiatric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Interview (MINI; Amorim, 2000),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psychiatric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medication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complete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questionnaires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excluded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bipolar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suicidal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z w:val="24"/>
          <w:szCs w:val="24"/>
        </w:rPr>
        <w:t>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abuse,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intellectual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dementia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Fourteen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outpatients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screened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participate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males,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females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four meet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inclusion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criteria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ultimately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included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analysis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female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dropped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midtreatment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All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three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participants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were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currently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taking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selective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serotonin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reuptake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inhibitors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SSRIs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>prescribed</w:t>
      </w:r>
      <w:proofErr w:type="spellEnd"/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 for OCD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procedures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ethics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case series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detailed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demographics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58047E" w14:textId="77777777" w:rsidR="00477B06" w:rsidRDefault="005A0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Measures</w:t>
      </w:r>
      <w:proofErr w:type="spellEnd"/>
    </w:p>
    <w:p w14:paraId="26B11E88" w14:textId="77777777" w:rsidR="00477B06" w:rsidRDefault="005A0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follow-up (6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assessments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via self-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diagnostic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interview.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assessments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in-person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follow-up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assessments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lockdown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delivery,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complete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assessments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z w:val="24"/>
          <w:szCs w:val="24"/>
        </w:rPr>
        <w:t>ferences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displayed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surveys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responses.</w:t>
      </w:r>
    </w:p>
    <w:p w14:paraId="73ED0931" w14:textId="77777777" w:rsidR="00477B06" w:rsidRDefault="005A0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Primary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outcome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868912" w14:textId="77777777" w:rsidR="00477B06" w:rsidRDefault="005A0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Yale-Brown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Obsessive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Compulsive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Scale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(Y-BOCS)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</w:t>
      </w:r>
      <w:r>
        <w:rPr>
          <w:rFonts w:ascii="Times New Roman" w:eastAsia="Times New Roman" w:hAnsi="Times New Roman" w:cs="Times New Roman"/>
          <w:sz w:val="24"/>
          <w:szCs w:val="24"/>
        </w:rPr>
        <w:t>erity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semi-structured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interview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includes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symptom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checklist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10-item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clinician-rated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compulsions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 (no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symptoms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(extreme)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scores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OCD. The Y-BOCS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widely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psychometri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(Goodman et al., 1989),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Portuguese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(Fontenelle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et al., 1998).</w:t>
      </w:r>
    </w:p>
    <w:p w14:paraId="2F456383" w14:textId="77777777" w:rsidR="00477B06" w:rsidRDefault="005A0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Secondary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outcomes</w:t>
      </w:r>
      <w:proofErr w:type="spellEnd"/>
    </w:p>
    <w:p w14:paraId="1407689E" w14:textId="77777777" w:rsidR="00477B06" w:rsidRDefault="005A0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48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2E2E2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Beck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Depression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Inventory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(BDI)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self-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(Beck et al., 1988).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total score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scores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rtuguese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psychometric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characteristics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Gorenstein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Andrade, 1998).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Enjoyment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Satisfaction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Questionnaire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Short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(Q-LES-Q-SF)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pleasure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functioning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sexual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financial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5-point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scores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converted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percentage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overall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consistent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Endicott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et al., 1993).</w:t>
      </w:r>
    </w:p>
    <w:p w14:paraId="7B452892" w14:textId="77777777" w:rsidR="00477B06" w:rsidRDefault="005A0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flexibility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measure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326B91" w14:textId="77777777" w:rsidR="00477B06" w:rsidRDefault="005A00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flexibility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theorized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chance in ACT,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Acceptance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Questionnaire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Obsessive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Compulsive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(AAQ - OC)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Portuguese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AAQ-OC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inflexibility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unwanted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intrusive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total score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impairments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willingness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intrusive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Jacoby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al., 2018).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scores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inflexibility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scores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flexibility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555D56" w14:textId="77777777" w:rsidR="00477B06" w:rsidRDefault="00477B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9EA86E7" w14:textId="77777777" w:rsidR="00477B06" w:rsidRDefault="005A00C2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Intervention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Overview</w:t>
      </w:r>
    </w:p>
    <w:p w14:paraId="654643E0" w14:textId="77777777" w:rsidR="00477B06" w:rsidRDefault="005A00C2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 ACT+ERP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Twohig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 (2018),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ACT+ERP for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collaborat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ERP (i.e.,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flexibility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self-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rituals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hierarchy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compulsions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meaningful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similar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Kozak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(2004)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flexibility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willingness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nxiety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habituation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taught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flexibly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anxiety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urges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ritualize.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fifteenth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flexibility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continue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final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maintaining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reorienting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A6E129" w14:textId="77777777" w:rsidR="00477B06" w:rsidRDefault="005A00C2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iders</w:t>
      </w:r>
      <w:proofErr w:type="spellEnd"/>
    </w:p>
    <w:p w14:paraId="4418B43E" w14:textId="77777777" w:rsidR="00477B06" w:rsidRDefault="005A00C2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postgraduate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Rio De Janeiro,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assessors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assessme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coordinate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demographics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self-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fidelity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monthly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consultation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meeting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Twohig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train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C779E8" w14:textId="77777777" w:rsidR="00477B06" w:rsidRDefault="005A00C2">
      <w:pPr>
        <w:widowControl w:val="0"/>
        <w:spacing w:before="240" w:after="240" w:line="48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Unique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Brazil</w:t>
      </w:r>
      <w:proofErr w:type="spellEnd"/>
    </w:p>
    <w:p w14:paraId="399C626B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country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(Instituto Brasileiro de Geografia e Estatística [IBGE], 2021).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high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inequality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(IBGE, 1998).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disparities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reflected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(Neri &amp; Soares, 2002).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universal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guaranteed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1988´s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Health System (SUS)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underfunded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greatly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exceeding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typically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Sanabria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2010;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Chazan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Faro, 2016).</w:t>
      </w:r>
    </w:p>
    <w:p w14:paraId="3F787200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pronounced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(Campanha et. al., 2015; Quintana et al., 2013).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prevalence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psychiatric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(Gonçalves et. al., 2014;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al., 2018, Andrade et al. 2012),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population-based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São Paulo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general medical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(Campanha et al., 2015).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emphasis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approaches,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2005).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population-level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inclu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BA2D4A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systems-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delivery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themselves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interdependent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(Gouveia &amp; Clemente, 2000;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LeJeune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2019).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psychotherapeutic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personalism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Trevino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al., 1991).  In particular,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simpatia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Applewhite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1998),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maintaining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avoiding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conflicts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repercussions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therapeutic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more passive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relate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influence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management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emphasized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decision-makin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transferred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compliant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exercises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generalize 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responses (e.g.,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explained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engaged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interpers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influence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familial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familism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Marin &amp; Marin, 1991).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augmenting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(e.g.,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?”).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z w:val="24"/>
          <w:szCs w:val="24"/>
        </w:rPr>
        <w:t>rection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6827B5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aggression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common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(Fontenelle et al., 2004).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heavily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influenced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Catholic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religion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someth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coupled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supernatural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beliefs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reinforcement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superstition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thinking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influencing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OCD. In some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congregations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encouraged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dangerous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balance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influence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religion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standard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OCD.  </w:t>
      </w:r>
    </w:p>
    <w:p w14:paraId="6DC80A97" w14:textId="77777777" w:rsidR="00477B06" w:rsidRDefault="00477B06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B39C5" w14:textId="77777777" w:rsidR="00477B06" w:rsidRDefault="005A00C2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Adaptation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ACT for OCD for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Clients</w:t>
      </w:r>
      <w:proofErr w:type="spellEnd"/>
    </w:p>
    <w:p w14:paraId="16F3F83C" w14:textId="77777777" w:rsidR="00477B06" w:rsidRDefault="005A00C2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>hig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 al. (2018)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Portuguese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+ ERP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features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 individual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occurring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twice-weekly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hours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financial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logistical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serves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socioeconomically-diverse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living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wealthier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neighborhood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sacrifici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vulnerable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lockdowns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occurred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points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depending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introductory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in-person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switch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benefit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switch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isolation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exacerbated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earlier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build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exercises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86DC15" w14:textId="77777777" w:rsidR="00477B06" w:rsidRDefault="005A00C2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</w:t>
      </w:r>
      <w:r>
        <w:rPr>
          <w:rFonts w:ascii="Times New Roman" w:eastAsia="Times New Roman" w:hAnsi="Times New Roman" w:cs="Times New Roman"/>
          <w:sz w:val="24"/>
          <w:szCs w:val="24"/>
        </w:rPr>
        <w:t>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therapeutic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language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reflecting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previously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emphasis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z w:val="24"/>
          <w:szCs w:val="24"/>
        </w:rPr>
        <w:t>atments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ACT 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emphasis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book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(Hay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et al., 1999)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Portuguese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(Hayes et al., 2021).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familiar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cognitions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,”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,”  “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reinfo</w:t>
      </w:r>
      <w:r>
        <w:rPr>
          <w:rFonts w:ascii="Times New Roman" w:eastAsia="Times New Roman" w:hAnsi="Times New Roman" w:cs="Times New Roman"/>
          <w:sz w:val="24"/>
          <w:szCs w:val="24"/>
        </w:rPr>
        <w:t>rcement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therapeutic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everyday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frequently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reinforc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encourage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thoughtfully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observe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consequences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particular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Similarly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58B5D3A4" w14:textId="77777777" w:rsidR="00477B06" w:rsidRDefault="005A00C2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thinking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thinking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behaviorally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counteracting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influence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approach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introductory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approximately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 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cognitions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generalize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complete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z w:val="24"/>
          <w:szCs w:val="24"/>
        </w:rPr>
        <w:t>gnments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851564" w14:textId="77777777" w:rsidR="00477B06" w:rsidRDefault="005A00C2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metaphors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substituted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for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delicacies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such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bolo de chocolate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(chocolate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sonhos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(cream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doughnuts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metaphor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“bum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unwanted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feelings)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unwanted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neighbor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prevalence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encountered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common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disparit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suffered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passes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citizens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heavily-armed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enforcement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tragedies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raids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Rio de Janeiro (The New York Times, 2021).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symptomatology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genuine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oneself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high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heightened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awareness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physica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avoidance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(e.g.,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traveling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dangerous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delivering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carefully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</w:t>
      </w:r>
      <w:r>
        <w:rPr>
          <w:rFonts w:ascii="Times New Roman" w:eastAsia="Times New Roman" w:hAnsi="Times New Roman" w:cs="Times New Roman"/>
          <w:sz w:val="24"/>
          <w:szCs w:val="24"/>
        </w:rPr>
        <w:t>viors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living. </w:t>
      </w:r>
    </w:p>
    <w:p w14:paraId="56927CDC" w14:textId="77777777" w:rsidR="00477B06" w:rsidRDefault="005A00C2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simpatia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appeared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alluded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responsibilities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incorporate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emphasize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familial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engaging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daughter's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trigger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perfectionism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attitude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CCF477" w14:textId="77777777" w:rsidR="00477B06" w:rsidRDefault="005A00C2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Familism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sz w:val="24"/>
          <w:szCs w:val="24"/>
        </w:rPr>
        <w:t>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contaminating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home.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emphasized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gaging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ultimately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closeness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explored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gay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accepted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balance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connection,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CB4C53" w14:textId="77777777" w:rsidR="00477B06" w:rsidRDefault="005A00C2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simpatia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cases.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ultimately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cultivating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trigger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beliefs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rude.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reinforcing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terpersonal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reflect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adhering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perceived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3BF6DA" w14:textId="77777777" w:rsidR="00477B06" w:rsidRDefault="005A0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79D5D9" w14:textId="77777777" w:rsidR="00477B06" w:rsidRDefault="005A00C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Results</w:t>
      </w:r>
      <w:proofErr w:type="spellEnd"/>
    </w:p>
    <w:p w14:paraId="7B0DB8B3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scores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(Y-BOCS),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outcomes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follow-up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individual scores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outcomes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</w:p>
    <w:p w14:paraId="5873A72F" w14:textId="77777777" w:rsidR="00477B06" w:rsidRDefault="005A00C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14:paraId="67E18F29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(P1)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35-ye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mixed-race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“pardo”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“Pardo”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mixed-race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(Osorio, 2013).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single,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unemployed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gay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come 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socially-conservative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beliefs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financial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bus ticket.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suffering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contaminating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(e.g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bathroom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underwear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bedding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household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P1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compulsions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himself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pairs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>rwear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eventually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off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underwear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exacerbating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financial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sz w:val="24"/>
          <w:szCs w:val="24"/>
        </w:rPr>
        <w:t>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friendly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apologizing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dialogue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himself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judgments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3E16F9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Willingness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contaminating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P1.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depended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clarifying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​​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aligned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some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facilitated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strengthened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perspective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neutral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(i.e., self-as-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bag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genitals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letting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underwear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bedding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42AB2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struggled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associations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Feeling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out gay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social media post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“a gay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P1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empowered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 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freedom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connection. </w:t>
      </w:r>
    </w:p>
    <w:p w14:paraId="0AE6B925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overall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OCD over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follow-up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coinciding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P1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range for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Y-BOCS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2). 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decrease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threshold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clinically-significant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35%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Y-BOCS scores (Lewin et al., 2011).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symptom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follow-up.</w:t>
      </w:r>
    </w:p>
    <w:p w14:paraId="5059890C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decreases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inflexibility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Likewise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P1’s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follow-up.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P1’s scores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range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EB6B93" w14:textId="77777777" w:rsidR="00477B06" w:rsidRDefault="005A00C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14:paraId="038AB48E" w14:textId="77777777" w:rsidR="00477B06" w:rsidRDefault="005A00C2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(P2)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42-year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mixed-race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married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living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6-year-old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daughter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web designer.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perfectio</w:t>
      </w:r>
      <w:r>
        <w:rPr>
          <w:rFonts w:ascii="Times New Roman" w:eastAsia="Times New Roman" w:hAnsi="Times New Roman" w:cs="Times New Roman"/>
          <w:sz w:val="24"/>
          <w:szCs w:val="24"/>
        </w:rPr>
        <w:t>nism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exhibited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repetitive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alleviate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uncertainty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initial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anxious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triggers,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purposefully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drinking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repeatedly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self-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The self-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</w:t>
      </w:r>
      <w:r>
        <w:rPr>
          <w:rFonts w:ascii="Times New Roman" w:eastAsia="Times New Roman" w:hAnsi="Times New Roman" w:cs="Times New Roman"/>
          <w:sz w:val="24"/>
          <w:szCs w:val="24"/>
        </w:rPr>
        <w:t>rcises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trigger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antecedent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perfectionism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("I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happens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me")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repetitive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drinking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self-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times).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therapist's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delete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insisted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afraid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self-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3D705E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decreases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OCD over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subsequent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follow-up.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scores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clinically-significant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similar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reductio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inflexibility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unwanted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intrusive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cutoff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ormative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range.</w:t>
      </w:r>
    </w:p>
    <w:p w14:paraId="7F0CBC9B" w14:textId="77777777" w:rsidR="00477B06" w:rsidRDefault="005A00C2">
      <w:pPr>
        <w:spacing w:after="20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 </w:t>
      </w:r>
    </w:p>
    <w:p w14:paraId="26AC8D42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(P3)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45-year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unemployed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unskilled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taxi driver.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himself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accumulated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living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separating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7-year-old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lived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weekends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His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aggressiv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engaged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checking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rituals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reassurance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response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uncomfortable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beliefs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"The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some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,"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explode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officer´s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Compulsions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checking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constantly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himself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diagnosed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Anxiety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(GAD)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comorbid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B3D5B3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z w:val="24"/>
          <w:szCs w:val="24"/>
        </w:rPr>
        <w:t>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ex-wife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compliant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appar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displeasing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fearing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exercises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wrongly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feeling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ashamed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self-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thankful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exact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criticism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psychotherapeutic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self-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repeating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​​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meaningful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structured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Bullseye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potentially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4219FAC3" w14:textId="77777777" w:rsidR="00477B06" w:rsidRDefault="005A00C2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decreases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OCD,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P1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follow-up. 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posttreatment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overall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follow-up.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Similarly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inflexibility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unwanted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intrusive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subsequent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follow-up. P3’s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improved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returned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follow-up. P3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range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finished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range. Similar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range for P3.</w:t>
      </w:r>
    </w:p>
    <w:p w14:paraId="79B5D04C" w14:textId="77777777" w:rsidR="00477B06" w:rsidRDefault="00477B06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F04DC0F" w14:textId="77777777" w:rsidR="00477B06" w:rsidRDefault="005A00C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Discussion</w:t>
      </w:r>
      <w:proofErr w:type="spellEnd"/>
    </w:p>
    <w:p w14:paraId="087B0D62" w14:textId="77777777" w:rsidR="00477B06" w:rsidRDefault="005A00C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potentially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promising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depres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flexibility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common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maintained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follow-up,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self-help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serve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for future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countries.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BD2B96" w14:textId="77777777" w:rsidR="00477B06" w:rsidRDefault="005A00C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for OCD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its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engaging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exercises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family-based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unaccustomed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interdependent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pliant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2019).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Similarly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practitioners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consider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simpatia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interper</w:t>
      </w:r>
      <w:r>
        <w:rPr>
          <w:rFonts w:ascii="Times New Roman" w:eastAsia="Times New Roman" w:hAnsi="Times New Roman" w:cs="Times New Roman"/>
          <w:sz w:val="24"/>
          <w:szCs w:val="24"/>
        </w:rPr>
        <w:t>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 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positive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build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willingness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ird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delivering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 familiar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approach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OCD.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adjust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</w:t>
      </w:r>
      <w:r>
        <w:rPr>
          <w:rFonts w:ascii="Times New Roman" w:eastAsia="Times New Roman" w:hAnsi="Times New Roman" w:cs="Times New Roman"/>
          <w:sz w:val="24"/>
          <w:szCs w:val="24"/>
        </w:rPr>
        <w:t>pating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3E022B" w14:textId="77777777" w:rsidR="00477B06" w:rsidRDefault="005A00C2">
      <w:pPr>
        <w:spacing w:line="480" w:lineRule="auto"/>
        <w:ind w:firstLine="720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maintaining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follow-up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reflective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lockdown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shows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patients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pree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xisting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psychiatric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disorders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reported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worsening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symptoms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pandemic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Vindegaard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Benros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, 2020). More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specifically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, in a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sample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829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individuals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evaluated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before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during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pandemic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participants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reported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OCD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symptoms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significa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ntly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worsened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evolving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increased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disability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reduced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quality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life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(Fontenelle et al., 2021). </w:t>
      </w:r>
    </w:p>
    <w:p w14:paraId="54E5FC05" w14:textId="77777777" w:rsidR="00477B06" w:rsidRDefault="005A00C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addition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inequality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uniquely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noteworthy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occurred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warranted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explore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stressors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financial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0221D6" w14:textId="77777777" w:rsidR="00477B06" w:rsidRDefault="005A00C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evidence-based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ACT,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adequate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OCD.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small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thoughtful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gap,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more substantive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embedded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Latinx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crease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stigma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OCD.</w:t>
      </w:r>
    </w:p>
    <w:p w14:paraId="6AD8D64C" w14:textId="77777777" w:rsidR="00477B06" w:rsidRDefault="005A00C2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remotely-delivered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logistic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face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worldwide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reflect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systems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approach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future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20D5C" w14:textId="77777777" w:rsidR="00477B06" w:rsidRDefault="00477B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E73DB1" w14:textId="77777777" w:rsidR="00477B06" w:rsidRDefault="00477B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367CC6" w14:textId="77777777" w:rsidR="00477B06" w:rsidRDefault="00477B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5DB118" w14:textId="77777777" w:rsidR="00477B06" w:rsidRDefault="00477B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F8E42" w14:textId="77777777" w:rsidR="00477B06" w:rsidRDefault="00477B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E137B8" w14:textId="77777777" w:rsidR="00477B06" w:rsidRDefault="00477B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236698" w14:textId="77777777" w:rsidR="00477B06" w:rsidRDefault="00477B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3B11E" w14:textId="77777777" w:rsidR="00477B06" w:rsidRDefault="00477B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EB090" w14:textId="77777777" w:rsidR="00477B06" w:rsidRDefault="00477B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8729B" w14:textId="77777777" w:rsidR="00477B06" w:rsidRDefault="00477B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B18C88" w14:textId="77777777" w:rsidR="00477B06" w:rsidRDefault="00477B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930A6" w14:textId="77777777" w:rsidR="00477B06" w:rsidRDefault="00477B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7C11B8" w14:textId="77777777" w:rsidR="00477B06" w:rsidRDefault="00477B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08945" w14:textId="77777777" w:rsidR="00477B06" w:rsidRDefault="00477B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F1C91" w14:textId="77777777" w:rsidR="00477B06" w:rsidRDefault="00477B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7D439" w14:textId="77777777" w:rsidR="00477B06" w:rsidRDefault="00477B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F5579C" w14:textId="77777777" w:rsidR="00477B06" w:rsidRDefault="00477B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EF1C3" w14:textId="77777777" w:rsidR="00477B06" w:rsidRDefault="00477B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FD8381" w14:textId="77777777" w:rsidR="00477B06" w:rsidRDefault="00477B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AAD882" w14:textId="77777777" w:rsidR="00477B06" w:rsidRDefault="005A00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  <w:proofErr w:type="spellEnd"/>
    </w:p>
    <w:p w14:paraId="7440DB99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Abramowitz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Buchholz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L. (2018).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Cognitive-Behavioral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OCD: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Behavior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49(3), 311–322.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https://doi.org/10.1016/j.beth.2017.09.002</w:t>
        </w:r>
      </w:hyperlink>
    </w:p>
    <w:p w14:paraId="77357DC1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Abramowitz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S.,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Jacoby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J. (2015).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diagnostic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class.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11, 165-186.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https://doi.org/10.1146/annurev-clinpsy-032813-153713</w:t>
        </w:r>
      </w:hyperlink>
    </w:p>
    <w:p w14:paraId="5A265B02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Alegría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Mulvaney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-Day, N., Woo, M., Torres, M., Gao, S.,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V. (2007). Correlates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past-year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Latinos: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Latino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American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97(1), 76-83.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https://doi.org/10.2105/AJPH.2006.087197</w:t>
        </w:r>
      </w:hyperlink>
    </w:p>
    <w:p w14:paraId="0C7E4C59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Amorim, P. (2000). MINI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z w:val="24"/>
          <w:szCs w:val="24"/>
        </w:rPr>
        <w:t>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Neuropsychiatric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Interview (MINI):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short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structured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diagnostic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psychiatric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interview.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Revista Brasileira de Psiquiatria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106–115.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https://doi.org/10.1590/S1516-44462000000300003</w:t>
        </w:r>
      </w:hyperlink>
    </w:p>
    <w:p w14:paraId="6443A608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Applewhite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L. (1998).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elderly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Latinos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Gerontological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30(1), 1–15.  https://doi.org/10.1300/J083v30n01_01</w:t>
      </w:r>
    </w:p>
    <w:p w14:paraId="1245677C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Andrade, L. H., Wang, Y.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Andreoni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S., Silveira, C. M., Alexandrino-Silva,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E.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Nishimura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R., Anthony, J.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Gattaz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W. F.,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Kessler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R. C., &amp; Viana, M. C. (2012).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megacities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findings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São Paulo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megacity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survey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PloS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(2),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e31879.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https://doi.org/10.1371/journal.pone.0031879</w:t>
        </w:r>
      </w:hyperlink>
    </w:p>
    <w:p w14:paraId="0B9FCD14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Antshel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 M. (2002).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adherence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Latino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Psychology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Health &amp; Medic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7(4), 435-449.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https://doi.org/10.1080/1354850021000015258</w:t>
        </w:r>
      </w:hyperlink>
    </w:p>
    <w:p w14:paraId="0C8B2141" w14:textId="77777777" w:rsidR="00477B06" w:rsidRDefault="005A00C2">
      <w:pPr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Eifert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 H., Davies,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Vilardaga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C. P., Rose, R. D.,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G. (2012).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Randomized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gnitive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behavioral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(CBT) versus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(ACT)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mixed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anxiety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consulting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clinical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psychology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>(5), 750.</w:t>
      </w:r>
    </w:p>
    <w:p w14:paraId="50877BCD" w14:textId="77777777" w:rsidR="00477B06" w:rsidRDefault="005A00C2">
      <w:pPr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Beck, A. T., Epstein, N., Brown, G.,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A. (1988).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inventory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anxiety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psychometric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consulting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clinical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psychology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56(6), 893. 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https://doi.org/10.1037/0022-006X.56.6.893</w:t>
        </w:r>
      </w:hyperlink>
    </w:p>
    <w:p w14:paraId="78A5425C" w14:textId="77777777" w:rsidR="00477B06" w:rsidRDefault="005A00C2">
      <w:pPr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Bernal, G., Jiménez-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Chafey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I.,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Domenech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Rodr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íguez, M. M. (2009).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adaptation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treatments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resource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considering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evidence-based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Professional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Psychology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Research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40(4), 361. 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rg/10.1037/a0016401</w:t>
        </w:r>
      </w:hyperlink>
    </w:p>
    <w:p w14:paraId="76EFA9EC" w14:textId="77777777" w:rsidR="00477B06" w:rsidRDefault="005A00C2">
      <w:pPr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S.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Fillenbaum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G. G., Mello, M. F., Quintana, M. I., Mari, J.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Bressan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R. A., &amp; Andreoli, S. B. (2018). 12-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month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prevalence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concomitants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DSM-IV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anxiety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violence-prone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affective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232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204–211.  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https://doi.org/10.1016/j.jad.2018.02.023</w:t>
        </w:r>
      </w:hyperlink>
    </w:p>
    <w:p w14:paraId="6356AF27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Campanha, A.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E.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Milhorança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I. A., Viana, M. C., Wang, Y. P., &amp; Andrade, L. H. (2015).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psychotropic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medications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São Paulo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Metropolitan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pattern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general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Pharmacoepidemiology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drug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safety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24(11), 1207-1214. 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https://doi.org/10.1002/pds.3826</w:t>
        </w:r>
      </w:hyperlink>
    </w:p>
    <w:p w14:paraId="0F8A6514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Chazan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L. K., &amp; Faro, L. F. T. (2016).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picture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baby?”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Biomedicalization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stratification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obstetric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ultrasound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Rio de Janeiro.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História, Ciências, Saúde – Manguinhos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Rio de Janeiro, 23 (1), 57-77. </w:t>
      </w:r>
      <w:hyperlink r:id="rId17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https://doi.org/10.1590/S0104-59702016000100005</w:t>
        </w:r>
      </w:hyperlink>
    </w:p>
    <w:p w14:paraId="4B54780C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Costa, P. H. A. &amp; Paiva, F. S. (2016).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Literature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conceptions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professionals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drugs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biomedical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naturali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moralism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Physis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Rio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Janeiro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26(3), 1009-1031. </w:t>
      </w:r>
      <w:hyperlink r:id="rId18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https://doi.org/10.1590/S0103-73312016000300015</w:t>
        </w:r>
      </w:hyperlink>
    </w:p>
    <w:p w14:paraId="028E3EA7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Del Porto, J. A. (1994). Distúrbio obsessivo–compulsivo: fenomenologia clín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ica de 105 pacientes e estudo de aspectos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trans-históricos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transculturais.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Dissertation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, Escola Paulista de Medicina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São Paulo, SP. </w:t>
      </w:r>
    </w:p>
    <w:p w14:paraId="26063B6D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Endicott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J., Harrison, W.,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Blumenthal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R. (1993).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enjoyment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satisfaction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questionnaire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measure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Psychopharmacology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Bulletin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29(2), 321–326. </w:t>
      </w:r>
      <w:hyperlink r:id="rId19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https://pubmed.ncbi.nlm.nih.gov/8290681/</w:t>
        </w:r>
      </w:hyperlink>
    </w:p>
    <w:p w14:paraId="58228543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E. B.,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J. (2004).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Mastery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obsessive-compulsive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disorder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cognitive-behavi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approach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therapist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guide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Oxford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Press.</w:t>
      </w:r>
    </w:p>
    <w:p w14:paraId="3F5F42D1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E.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Liebowitz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J., Davies,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Campeas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R., Franklin, M. E., Huppert, J. 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Kjernisted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K., Rowan, V., Schmidt, A. B., Simpson, H. B., &amp; Tu, X. (2005).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Randomized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placebo-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ntrolled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exposure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ritual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clomipramine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combination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The American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psychiatry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162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(1), 151–161.  </w:t>
      </w:r>
      <w:hyperlink r:id="rId20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ps://doi.org/10.1176/appi.ajp.162.1.151</w:t>
        </w:r>
      </w:hyperlink>
    </w:p>
    <w:p w14:paraId="44931FD8" w14:textId="77777777" w:rsidR="00477B06" w:rsidRDefault="005A00C2">
      <w:pPr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Fontenelle, L. F.,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Albertella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Brierley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M.-E., Thompson, E.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Destrée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L., Chamberlain, S. R.,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Yücel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(2021). Correlates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symptom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severity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pandemic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Psychiatric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hyperlink r:id="rId21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https://doi.org/https://doi.org/10.1016/j.jpsychires.2021.03.046</w:t>
        </w:r>
      </w:hyperlink>
    </w:p>
    <w:p w14:paraId="5B398C17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Fontenelle, L., Marques, C., Figueira, I.,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A.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Versian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(1998). Escala obsessivo-compulsiva de Yale-Brown (Y-BOCS): crítica a suas características psicométricas.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J. bras.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psiquiatr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47(7): 361-368. </w:t>
      </w:r>
    </w:p>
    <w:p w14:paraId="49C03A67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Fontenelle, L. F.,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Mendlowicz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V., Marques, C.,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Versiani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(2004).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Trans-cultural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aspects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description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systematic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psychiatric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(4), 403–411. </w:t>
      </w:r>
      <w:hyperlink r:id="rId22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016/j.jpsychires.2003.12.004</w:t>
        </w:r>
      </w:hyperlink>
    </w:p>
    <w:p w14:paraId="6E8D5868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Gonçalves, D. A., Mari, J. D.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Dowrick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Tófoli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L. F., ... &amp; Fortes, S. (2014).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multicentre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common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primary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rates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demographic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factor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Cadernos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saude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publica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30, 623-632. </w:t>
      </w:r>
      <w:hyperlink r:id="rId23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https://doi.org/10.1590/0102-311X00158412</w:t>
        </w:r>
      </w:hyperlink>
    </w:p>
    <w:p w14:paraId="3F858990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Goodman, W. 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L. H., Rasmussen, S.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Mazure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Fleischmann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R. L., Hill, C.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Heninger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G. R.,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Charney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D. S. (1989). The Yale-Brown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Use,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Reliability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Archives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General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Psychiatry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(11),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1006–1011. </w:t>
      </w:r>
      <w:hyperlink r:id="rId24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https://doi.org/10.1001/archpsyc.1989.01810110048007</w:t>
        </w:r>
      </w:hyperlink>
    </w:p>
    <w:p w14:paraId="00FB35DA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Gorenstein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C., &amp; Andrade, L. H. (1998). Inventário de depressão de Beck: Propriedades psicométricas da versão em portug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uês.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Rev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Psiq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245–250.</w:t>
      </w:r>
    </w:p>
    <w:p w14:paraId="404DAC2F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Gouveia, V. V., &amp; Clemente, M. (2000). O individualismo-coletivismo no Brasil e na Espanha: correlatos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sócio-demográficos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Estudos de Psicologia (Natal)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5(2), 317-346. </w:t>
      </w:r>
      <w:hyperlink r:id="rId25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https://doi.org/10.1590/S1413-294X2000000200003</w:t>
        </w:r>
      </w:hyperlink>
    </w:p>
    <w:p w14:paraId="7ED3658E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Hayes, SC,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Strosahl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KD, &amp; Wilson, KG (1999).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Acceptance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commitment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experiential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approach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behavior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change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Guilford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Press.</w:t>
      </w:r>
    </w:p>
    <w:p w14:paraId="0EEC0621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Hayes SC, Barnes-Holmes D, &amp; Roche B (Eds.) (2001).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elational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Frame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Theory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: A post-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Skinnerian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account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human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language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cognition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New York: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Kluwer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Plenum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Publishers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FB3D81D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Hayes, SC,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Strosahl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KD, &amp; Wilson, KG (2021).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Terapia de Aceitação e Compromisso: O Processo e a Prática da Mudança Consciente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Artmed Editora.</w:t>
      </w:r>
    </w:p>
    <w:p w14:paraId="017685E3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Instituto Brasileiro de Geografia e Estatística [IBGE] (</w:t>
      </w: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Pesquisa Nacional por Amostra de Domicílios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Rio de Janeiro: IBGE.</w:t>
      </w:r>
    </w:p>
    <w:p w14:paraId="3AFB1587" w14:textId="77777777" w:rsidR="00477B06" w:rsidRDefault="005A00C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Instituto Brasileiro de Geografia e Estatística [IBGE] (2021). </w:t>
      </w:r>
      <w:hyperlink r:id="rId26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ps://www.ibge.gov.br/</w:t>
        </w:r>
      </w:hyperlink>
    </w:p>
    <w:p w14:paraId="4D75C17F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Jacoby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Abramowitz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Buchholz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L.,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Blakey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S. (2018).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Experiential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Avoidance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Validation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Questionnaire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Compulsions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Jour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19, 34–43. </w:t>
      </w:r>
      <w:hyperlink r:id="rId27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https://doi.org/10.1016/j.jocrd.2018.07.003</w:t>
        </w:r>
      </w:hyperlink>
    </w:p>
    <w:p w14:paraId="398D0831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Lakoff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Andrew. (2005)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Pharmaceutical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Knowledge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Value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Global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Psychiatry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Cambridge: Cambridge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</w:p>
    <w:p w14:paraId="72801E95" w14:textId="77777777" w:rsidR="00477B06" w:rsidRDefault="005A00C2">
      <w:pPr>
        <w:spacing w:after="0"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LeJeune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Luoma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J. B. (2019).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Clinician's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Guide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Helping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Clients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Explore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Values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Flexibility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Live a More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Meaningful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Life. New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Harbinger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Publications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82231B7" w14:textId="77777777" w:rsidR="00477B06" w:rsidRDefault="00477B06">
      <w:pPr>
        <w:spacing w:after="0"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2DA0F6D" w14:textId="77777777" w:rsidR="00477B06" w:rsidRDefault="005A00C2">
      <w:pPr>
        <w:spacing w:after="0" w:line="297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Lewin,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B., De Nadai, A. S., Park, J., Goodman, W. K., Murphy, T. K.,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Storch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E. A. (2011).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Refining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clinical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judgment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outcome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obsessive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compulsive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disorder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Psychiatry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185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(3), 394-401.</w:t>
      </w:r>
    </w:p>
    <w:p w14:paraId="528E892F" w14:textId="77777777" w:rsidR="00477B06" w:rsidRDefault="00477B06">
      <w:pPr>
        <w:spacing w:after="0" w:line="297" w:lineRule="auto"/>
        <w:rPr>
          <w:rFonts w:ascii="Arial" w:eastAsia="Arial" w:hAnsi="Arial" w:cs="Arial"/>
          <w:color w:val="222222"/>
          <w:sz w:val="20"/>
          <w:szCs w:val="20"/>
        </w:rPr>
      </w:pPr>
    </w:p>
    <w:p w14:paraId="4131BFF1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Lupton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Deborah. (2003).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Medicine 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Culture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Western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London: SAGE.</w:t>
      </w:r>
    </w:p>
    <w:p w14:paraId="2C9D61A9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Masuda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Akihiko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(2020).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Adapting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Commitment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Diverse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Cultures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In: M.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Levin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Twohig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Krafft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(Eds.).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Innovations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Acceptance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Commitment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linical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Advancements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Applications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in ACT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t xml:space="preserve"> pp. 239-251.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Oakland, CA: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Press/New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Harbinger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CB85375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Marin, G., &amp; Marin, B. V. (1991).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Research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Hispanic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populations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Publications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Inc.</w:t>
      </w:r>
    </w:p>
    <w:p w14:paraId="366678C9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Medeiros, Gustavo. C., Torres, Albina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Boisseau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Christina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Leppink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Eric W.,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Eisen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Jane L., Fontenelle, Leonardo F., do Rosário, Maria C., Mancebo, Maria C., Rasmussen, Steven A., Ferrão, Ygor A., &amp; Grant, Jon E. (2017).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omparison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subjects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United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Psychiatry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254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104–111. </w:t>
      </w:r>
      <w:hyperlink r:id="rId28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https://doi.org/10.1016/j.psychres.2017.04.024</w:t>
        </w:r>
      </w:hyperlink>
    </w:p>
    <w:p w14:paraId="14348339" w14:textId="77777777" w:rsidR="00477B06" w:rsidRDefault="005A00C2">
      <w:pPr>
        <w:spacing w:after="200" w:line="276" w:lineRule="auto"/>
        <w:ind w:right="-1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Milhorance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Londoño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(2021, May). Police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Rio de Janeiro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9">
        <w:r>
          <w:rPr>
            <w:rFonts w:ascii="Times New Roman" w:eastAsia="Times New Roman" w:hAnsi="Times New Roman" w:cs="Times New Roman"/>
            <w:sz w:val="24"/>
            <w:szCs w:val="24"/>
          </w:rPr>
          <w:t>https://www.nytimes.com/2021/05/06/world/ame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ricas/brazil-rio-police-shootout.html</w:t>
        </w:r>
      </w:hyperlink>
    </w:p>
    <w:p w14:paraId="3D9AF122" w14:textId="77777777" w:rsidR="00477B06" w:rsidRDefault="005A00C2">
      <w:pPr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Neri, M., Soares, W. (2002)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inequality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Cadernos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Saude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Publica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v. 18, p. 77-87.</w:t>
      </w:r>
    </w:p>
    <w:p w14:paraId="7C216D81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Oliveira, F. A. (2002).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Anthropology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integrality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communication.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Inter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face _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Comunic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Saúde,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6(10), 63-74. </w:t>
      </w:r>
      <w:hyperlink r:id="rId30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https://doi.org/10.1590/S1414-32832002000100006</w:t>
        </w:r>
      </w:hyperlink>
    </w:p>
    <w:p w14:paraId="2972EAFF" w14:textId="77777777" w:rsidR="00477B06" w:rsidRDefault="005A00C2">
      <w:pPr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W.,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Clyde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W.,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Bluett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E.,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Twohig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P. (2016).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Dropout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rates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z w:val="24"/>
          <w:szCs w:val="24"/>
        </w:rPr>
        <w:t>posure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response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Anxiety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40, 8–17. </w:t>
      </w:r>
      <w:hyperlink r:id="rId31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https://doi.org/10.1016/j.janxdis.2016.03.006</w:t>
        </w:r>
      </w:hyperlink>
    </w:p>
    <w:p w14:paraId="38ADF94D" w14:textId="77777777" w:rsidR="00477B06" w:rsidRDefault="005A00C2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Osorio, 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G. (2013). A classificação de cor ou raça do IBGE revisitada. In J.L.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Petruccelli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&amp; A.L. Saboia (Eds.)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Características Étnico-raciais da população, classificação e identidades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(2nd ed., pp 83-99). Instituto Brasileiro de Geografia e Estatística. </w:t>
      </w:r>
      <w:hyperlink r:id="rId32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https://biblioteca.ibge.gov.br/visualizacao/livros/liv63405.pdf</w:t>
        </w:r>
      </w:hyperlink>
    </w:p>
    <w:p w14:paraId="0541CF73" w14:textId="77777777" w:rsidR="00477B06" w:rsidRDefault="005A00C2">
      <w:pPr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Petribú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K., Bastos, O. (1997).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Comorbidade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em transtorno obsessivo–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compulsivo 3a parte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objetivos, metodologia, res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ultados e discussão.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Jornal Brasileiro de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Psiquiatria,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417–25.</w:t>
      </w:r>
    </w:p>
    <w:p w14:paraId="48C02566" w14:textId="77777777" w:rsidR="00477B06" w:rsidRDefault="005A00C2">
      <w:pPr>
        <w:spacing w:before="240"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Quintana, M. I., Andreoli, S. B., Moreira, F. G., Ribeiro, W.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Bressan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R. A., Coutinho, E. S., &amp; Mari, J. J. (2013).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Epidemiology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psychotropic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drug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use in Rio de Janeiro,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gaps in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illness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treatments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PloS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(5), e6227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0. </w:t>
      </w:r>
      <w:hyperlink r:id="rId33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https://doi.org/10.1371/journal.pone.0062270</w:t>
        </w:r>
      </w:hyperlink>
    </w:p>
    <w:p w14:paraId="0E67A3DB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Rohani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Rasouli-Azad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Twohig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Ghoreishi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 S., Lee, E. B.,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Akbari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(2018).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Preliminary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optimal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serotonin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reuptake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inhibitors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16(August 2017), 8–13. </w:t>
      </w:r>
      <w:hyperlink r:id="rId34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https://doi.org/10.1016/j.jocrd.2017.10.002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905CE51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Sanabria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(2010).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Sub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Citizenship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Sex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Hormones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Ethnos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75(4), 1-25. </w:t>
      </w:r>
      <w:hyperlink r:id="rId35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https://doi.org/10.108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0/00141844.2010.544393</w:t>
        </w:r>
      </w:hyperlink>
    </w:p>
    <w:p w14:paraId="2EC8D763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Shabani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Mohsenabadi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H.,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Omidi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A., Lee, E.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Twohig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Ahmadvand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Zanjani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Z. (2019).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Iranian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commitment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versus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cognitive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behavioral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adolescents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sessive-compulsive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optimal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selective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serotonin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reuptake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inhibitors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Journal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22(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April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100440. </w:t>
      </w:r>
      <w:hyperlink r:id="rId36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https://doi.org/10.1016/j.jo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crd.2019.04.003</w:t>
        </w:r>
      </w:hyperlink>
    </w:p>
    <w:p w14:paraId="69FBC243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Smith, T. B., Rodríguez, M. D., &amp; Bernal, G. (2011).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Clinical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67(2), 166–175. </w:t>
      </w:r>
      <w:hyperlink r:id="rId37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https://doi.org/https://doi.org/10.1002/jclp.20757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7A58613F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Thompson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B.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Luoma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 B.,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LeJeune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 T. (2013).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commitment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guide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exposure-based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interventions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posttraumatic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stress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Contemporary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Psychotherapy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(3), 133-140.</w:t>
      </w:r>
    </w:p>
    <w:p w14:paraId="2B97B715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Trevino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F.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M. E., Valdez, R.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Stroup-Benham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C. A. (1991). Health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insurance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coverage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utilization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Mexican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Americans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mainland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Puerto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Ricans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Americans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265(2), 233-237.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10.1001/jama.1991.03460020087034.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Erratum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in: JAMA 1991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27;2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65(8):978. PMID: 1984153.</w:t>
      </w:r>
    </w:p>
    <w:p w14:paraId="76576A95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Twohig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P., Hayes, S.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Plumb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 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Pruitt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L. D., Collins, A.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Hazlett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-Stevens, H.,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Woidneck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R. (2010).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randomized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commitment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versus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progressive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relaxation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training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bsessive-compulsive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consulting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clinical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(5), 705–716. </w:t>
      </w:r>
      <w:hyperlink r:id="rId38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https://doi.org/10.1037/a0020508</w:t>
        </w:r>
      </w:hyperlink>
    </w:p>
    <w:p w14:paraId="12A0BAB0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Twohig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P.;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Abramowitz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Bluett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E.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Fabricant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L. E.,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Jacoby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Ryan J., Morrison, K.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L.; Smith, B. M. (2015).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Exposure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for OCD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commitment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(ACT) framework.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Journal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6, 167–173. </w:t>
      </w:r>
      <w:hyperlink r:id="rId39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https://doi.org/10.1016/j.jocrd.2014.12.007</w:t>
        </w:r>
      </w:hyperlink>
    </w:p>
    <w:p w14:paraId="3B269C6C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Twohig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P.,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Abramowitz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 S., Smith, B.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Fabricant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L.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Jacoby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R. J., Morrison, K.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Bluett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E. J.,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Blakey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S.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Ledermann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T. (2018).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Adding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commitment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exposure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response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obsessive-c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randomized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controlled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Behaviour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research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1–9. </w:t>
      </w:r>
      <w:hyperlink r:id="rId40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https://doi.org/10.1016/j.brat.2018.06.005</w:t>
        </w:r>
      </w:hyperlink>
    </w:p>
    <w:p w14:paraId="534BB4B3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Vindegaard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N.,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Benros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E. (2020). COVID-19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pandemic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consequences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Systematic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current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Brain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behavior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immunity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531–542. </w:t>
      </w:r>
      <w:hyperlink r:id="rId41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https://doi.org/10.1016/j.bbi.2020.05.048</w:t>
        </w:r>
      </w:hyperlink>
    </w:p>
    <w:p w14:paraId="1A600C39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Vakili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Y.,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Gharaee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B.,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Habibi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M. (2015).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commitment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selective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serotonin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reuptake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inhibitors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combination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improvement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symptoms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experiential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avoidance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patients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Iranian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Journal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Psychiatry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Behavioral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Sciences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9(2), 16–20. </w:t>
      </w:r>
      <w:hyperlink r:id="rId42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https://doi.org/10.17795/ijpbs845</w:t>
        </w:r>
      </w:hyperlink>
    </w:p>
    <w:p w14:paraId="71C1AE56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Volpato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Cordioli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Heldt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E., Braga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R., Basso de Sousa, M., Fonseca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J., Gus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Manfro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G., &amp;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Kapczinski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F. (2003).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Cognitive-behavioral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randomized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Psychotherapy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psychosomatics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(4), 211–216. </w:t>
      </w:r>
      <w:hyperlink r:id="rId43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https://doi.org/10.1159/0000707</w:t>
        </w:r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85</w:t>
        </w:r>
      </w:hyperlink>
    </w:p>
    <w:p w14:paraId="2E4A0BF5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Wetterneck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C. T., Little, T. 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Rinehart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K. L., Cervantes, M. E., Hyde, E., &amp; Williams, M. (2012). Latinos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obsessive-compulsive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disorder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utilization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inclusion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clinical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trials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obsessive-compulsive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related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(2), 85–97. </w:t>
      </w:r>
      <w:hyperlink r:id="rId44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https://doi.org/10.1016/j.jocrd.2011.12.001</w:t>
        </w:r>
      </w:hyperlink>
    </w:p>
    <w:p w14:paraId="69B99370" w14:textId="77777777" w:rsidR="00477B06" w:rsidRDefault="005A0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Woidneck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K.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Gundy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 M., Nelson, C. R.,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Twohig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P. (2012).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Exploring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competence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accepta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commitment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outcomes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Professional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Psychology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Research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Practice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, 43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(3), 227–233. </w:t>
      </w:r>
      <w:hyperlink r:id="rId45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https://doi.org/10.1037/a0026235</w:t>
        </w:r>
      </w:hyperlink>
      <w:r>
        <w:br w:type="page"/>
      </w:r>
    </w:p>
    <w:p w14:paraId="0F5A1CF0" w14:textId="77777777" w:rsidR="00477B06" w:rsidRDefault="005A00C2">
      <w:pPr>
        <w:spacing w:after="0" w:line="523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lastRenderedPageBreak/>
        <w:t>Table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1</w:t>
      </w:r>
    </w:p>
    <w:p w14:paraId="0F14D039" w14:textId="77777777" w:rsidR="00477B06" w:rsidRDefault="005A00C2">
      <w:pPr>
        <w:spacing w:after="0" w:line="523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Aggregate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means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standard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deviations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all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three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participants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at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timepoint</w:t>
      </w:r>
      <w:proofErr w:type="spellEnd"/>
    </w:p>
    <w:tbl>
      <w:tblPr>
        <w:tblStyle w:val="a1"/>
        <w:tblW w:w="8505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025"/>
        <w:gridCol w:w="1425"/>
        <w:gridCol w:w="1440"/>
        <w:gridCol w:w="1440"/>
      </w:tblGrid>
      <w:tr w:rsidR="00477B06" w14:paraId="0283EA9E" w14:textId="77777777">
        <w:trPr>
          <w:trHeight w:val="755"/>
        </w:trPr>
        <w:tc>
          <w:tcPr>
            <w:tcW w:w="217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D48E" w14:textId="77777777" w:rsidR="00477B06" w:rsidRDefault="005A00C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Timepoint</w:t>
            </w:r>
            <w:proofErr w:type="spellEnd"/>
          </w:p>
        </w:tc>
        <w:tc>
          <w:tcPr>
            <w:tcW w:w="202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07C0" w14:textId="77777777" w:rsidR="00477B06" w:rsidRDefault="005A00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Y-BOCS</w:t>
            </w:r>
          </w:p>
          <w:p w14:paraId="33C54B7C" w14:textId="77777777" w:rsidR="00477B06" w:rsidRDefault="005A00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M(SD)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9BE7" w14:textId="77777777" w:rsidR="00477B06" w:rsidRDefault="005A00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Q-LES-Q-SF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CE2C" w14:textId="77777777" w:rsidR="00477B06" w:rsidRDefault="005A00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BDI</w:t>
            </w:r>
          </w:p>
          <w:p w14:paraId="152C6559" w14:textId="77777777" w:rsidR="00477B06" w:rsidRDefault="005A00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M(SD)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C85E" w14:textId="77777777" w:rsidR="00477B06" w:rsidRDefault="005A00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AAQ-OC</w:t>
            </w:r>
          </w:p>
          <w:p w14:paraId="146BB177" w14:textId="77777777" w:rsidR="00477B06" w:rsidRDefault="005A00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M(SD)</w:t>
            </w:r>
          </w:p>
        </w:tc>
      </w:tr>
      <w:tr w:rsidR="00477B06" w14:paraId="63809043" w14:textId="77777777">
        <w:trPr>
          <w:trHeight w:val="695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4E59" w14:textId="77777777" w:rsidR="00477B06" w:rsidRDefault="005A00C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Baseline</w:t>
            </w:r>
            <w:proofErr w:type="spellEnd"/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607C" w14:textId="77777777" w:rsidR="00477B06" w:rsidRDefault="005A00C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24.0 (2.0)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4FB6" w14:textId="77777777" w:rsidR="00477B06" w:rsidRDefault="005A00C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44.0 (7.0)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ECAB6" w14:textId="77777777" w:rsidR="00477B06" w:rsidRDefault="005A00C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16.3 (13.1)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3A0E6" w14:textId="77777777" w:rsidR="00477B06" w:rsidRDefault="005A00C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61.0 (11.1)</w:t>
            </w:r>
          </w:p>
        </w:tc>
      </w:tr>
      <w:tr w:rsidR="00477B06" w14:paraId="3A5E6ABF" w14:textId="77777777">
        <w:trPr>
          <w:trHeight w:val="68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4C14" w14:textId="77777777" w:rsidR="00477B06" w:rsidRDefault="005A00C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Posttreatment</w:t>
            </w:r>
            <w:proofErr w:type="spellEnd"/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9120" w14:textId="77777777" w:rsidR="00477B06" w:rsidRDefault="005A00C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12.7 (2.1)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6E1D" w14:textId="77777777" w:rsidR="00477B06" w:rsidRDefault="005A00C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48.3 (2.9)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212F" w14:textId="77777777" w:rsidR="00477B06" w:rsidRDefault="005A00C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7.7 (4.5)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C8F7" w14:textId="77777777" w:rsidR="00477B06" w:rsidRDefault="005A00C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44.0 (11.3)</w:t>
            </w:r>
          </w:p>
        </w:tc>
      </w:tr>
      <w:tr w:rsidR="00477B06" w14:paraId="4969FC35" w14:textId="77777777">
        <w:trPr>
          <w:trHeight w:val="68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F202" w14:textId="77777777" w:rsidR="00477B06" w:rsidRDefault="005A00C2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Follow-up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21A6" w14:textId="77777777" w:rsidR="00477B06" w:rsidRDefault="005A00C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18.0 (1.0)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BEDD" w14:textId="77777777" w:rsidR="00477B06" w:rsidRDefault="005A00C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51.7 (12.5)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EACB" w14:textId="77777777" w:rsidR="00477B06" w:rsidRDefault="005A00C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 (9.8)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44A9" w14:textId="77777777" w:rsidR="00477B06" w:rsidRDefault="005A00C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47.3 (13.7)</w:t>
            </w:r>
          </w:p>
        </w:tc>
      </w:tr>
    </w:tbl>
    <w:p w14:paraId="01FD5DFE" w14:textId="77777777" w:rsidR="00477B06" w:rsidRDefault="005A00C2">
      <w:pPr>
        <w:spacing w:after="0" w:line="523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Note.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Y-BOCS 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Yale-Brown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Compulsive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Q-LES-Q-SF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Enjoyment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Questionnaire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Short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BDI = Beck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Inventory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AAQ-OC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Acceptance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Questionnaire-Obsessions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Compulsions</w:t>
      </w:r>
      <w:proofErr w:type="spellEnd"/>
    </w:p>
    <w:p w14:paraId="700B797D" w14:textId="77777777" w:rsidR="00477B06" w:rsidRDefault="005A00C2">
      <w:pPr>
        <w:spacing w:after="0" w:line="523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</w:p>
    <w:p w14:paraId="0340B4AA" w14:textId="77777777" w:rsidR="00477B06" w:rsidRDefault="00477B06">
      <w:pPr>
        <w:spacing w:after="0" w:line="523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</w:pPr>
    </w:p>
    <w:p w14:paraId="645F98B9" w14:textId="77777777" w:rsidR="00477B06" w:rsidRDefault="00477B06">
      <w:pPr>
        <w:spacing w:after="0" w:line="523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</w:pPr>
    </w:p>
    <w:p w14:paraId="4272EF8A" w14:textId="77777777" w:rsidR="00477B06" w:rsidRDefault="005A00C2">
      <w:pPr>
        <w:spacing w:after="0" w:line="523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Table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2</w:t>
      </w:r>
    </w:p>
    <w:p w14:paraId="4E5C550D" w14:textId="77777777" w:rsidR="00477B06" w:rsidRDefault="005A00C2">
      <w:pPr>
        <w:spacing w:after="0" w:line="523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Primary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seco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ndary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outcome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scores for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all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participants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at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each</w:t>
      </w:r>
      <w:proofErr w:type="spellEnd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timepoint</w:t>
      </w:r>
      <w:proofErr w:type="spellEnd"/>
    </w:p>
    <w:tbl>
      <w:tblPr>
        <w:tblStyle w:val="a2"/>
        <w:tblW w:w="9675" w:type="dxa"/>
        <w:tblInd w:w="-7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795"/>
        <w:gridCol w:w="720"/>
        <w:gridCol w:w="870"/>
        <w:gridCol w:w="750"/>
        <w:gridCol w:w="810"/>
        <w:gridCol w:w="660"/>
        <w:gridCol w:w="735"/>
        <w:gridCol w:w="840"/>
        <w:gridCol w:w="570"/>
        <w:gridCol w:w="795"/>
        <w:gridCol w:w="720"/>
        <w:gridCol w:w="720"/>
      </w:tblGrid>
      <w:tr w:rsidR="00477B06" w14:paraId="10B7EE5D" w14:textId="77777777">
        <w:trPr>
          <w:trHeight w:val="44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BE58" w14:textId="77777777" w:rsidR="00477B06" w:rsidRDefault="00477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2204" w14:textId="77777777" w:rsidR="00477B06" w:rsidRDefault="005A00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highlight w:val="white"/>
              </w:rPr>
              <w:t>Y-BOCS</w:t>
            </w:r>
          </w:p>
        </w:tc>
        <w:tc>
          <w:tcPr>
            <w:tcW w:w="2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CA72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highlight w:val="white"/>
              </w:rPr>
              <w:t>Q-LES-Q-SF</w:t>
            </w:r>
          </w:p>
        </w:tc>
        <w:tc>
          <w:tcPr>
            <w:tcW w:w="21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4CD4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highlight w:val="white"/>
              </w:rPr>
              <w:t>BDI</w:t>
            </w:r>
          </w:p>
        </w:tc>
        <w:tc>
          <w:tcPr>
            <w:tcW w:w="22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63EA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highlight w:val="white"/>
              </w:rPr>
              <w:t>AAQ-OC</w:t>
            </w:r>
          </w:p>
        </w:tc>
      </w:tr>
      <w:tr w:rsidR="00477B06" w14:paraId="66A627E8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1E0E" w14:textId="77777777" w:rsidR="00477B06" w:rsidRDefault="00477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E8BC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  <w:t>BL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52A2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  <w:t>PT</w:t>
            </w:r>
          </w:p>
        </w:tc>
        <w:tc>
          <w:tcPr>
            <w:tcW w:w="87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DEA1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  <w:t>FU</w:t>
            </w: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58ECC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  <w:t>BL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E673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  <w:t>PT</w:t>
            </w:r>
          </w:p>
        </w:tc>
        <w:tc>
          <w:tcPr>
            <w:tcW w:w="6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A86A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  <w:t>FU</w:t>
            </w:r>
          </w:p>
        </w:tc>
        <w:tc>
          <w:tcPr>
            <w:tcW w:w="73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ADCA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  <w:t>BL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22EE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  <w:t>PT</w:t>
            </w:r>
          </w:p>
        </w:tc>
        <w:tc>
          <w:tcPr>
            <w:tcW w:w="57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EABC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  <w:t>FU</w:t>
            </w:r>
          </w:p>
        </w:tc>
        <w:tc>
          <w:tcPr>
            <w:tcW w:w="79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2C41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  <w:t>BL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7A20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  <w:t>PT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0687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highlight w:val="white"/>
              </w:rPr>
              <w:t>FU</w:t>
            </w:r>
          </w:p>
        </w:tc>
      </w:tr>
      <w:tr w:rsidR="00477B06" w14:paraId="17A1FE6D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D856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highlight w:val="white"/>
              </w:rPr>
              <w:t>P1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01AE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5105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7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FA5D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C1EB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41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2F8DD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6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FB5F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73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311E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4248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7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C40E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79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4FAF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73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DD7F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FA5A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45</w:t>
            </w:r>
          </w:p>
        </w:tc>
      </w:tr>
      <w:tr w:rsidR="00477B06" w14:paraId="5A55F389" w14:textId="77777777">
        <w:trPr>
          <w:trHeight w:val="5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6A20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highlight w:val="white"/>
              </w:rPr>
              <w:t>P2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1D41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2B8B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87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C40BF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C3A4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45C5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6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34C38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64</w:t>
            </w:r>
          </w:p>
        </w:tc>
        <w:tc>
          <w:tcPr>
            <w:tcW w:w="73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B5EB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CD58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57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6728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9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6098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72BF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E6D3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35</w:t>
            </w:r>
          </w:p>
        </w:tc>
      </w:tr>
      <w:tr w:rsidR="00477B06" w14:paraId="35437042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A22B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highlight w:val="white"/>
              </w:rPr>
              <w:t>P3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0578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88C3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87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7535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750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6054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237A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66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B233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73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0ED1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3BEC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57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97F6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79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A04C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59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2349D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57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3CEE" w14:textId="77777777" w:rsidR="00477B06" w:rsidRDefault="005A00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white"/>
              </w:rPr>
              <w:t>62</w:t>
            </w:r>
          </w:p>
        </w:tc>
      </w:tr>
    </w:tbl>
    <w:p w14:paraId="77366485" w14:textId="77777777" w:rsidR="00477B06" w:rsidRDefault="00477B06">
      <w:pPr>
        <w:spacing w:after="0" w:line="523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</w:pPr>
    </w:p>
    <w:p w14:paraId="7CBB4CA1" w14:textId="77777777" w:rsidR="00477B06" w:rsidRDefault="005A00C2">
      <w:pPr>
        <w:spacing w:after="0" w:line="523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Note.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BL =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baseline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, PT =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posttreatment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, FU = follow-up</w:t>
      </w:r>
    </w:p>
    <w:sectPr w:rsidR="00477B06">
      <w:headerReference w:type="default" r:id="rId46"/>
      <w:footerReference w:type="default" r:id="rId47"/>
      <w:headerReference w:type="first" r:id="rId48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FF75" w14:textId="77777777" w:rsidR="005A00C2" w:rsidRDefault="005A00C2">
      <w:pPr>
        <w:spacing w:after="0" w:line="240" w:lineRule="auto"/>
      </w:pPr>
      <w:r>
        <w:separator/>
      </w:r>
    </w:p>
  </w:endnote>
  <w:endnote w:type="continuationSeparator" w:id="0">
    <w:p w14:paraId="1893392F" w14:textId="77777777" w:rsidR="005A00C2" w:rsidRDefault="005A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1FE4" w14:textId="77777777" w:rsidR="00477B06" w:rsidRDefault="00477B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FCE3" w14:textId="77777777" w:rsidR="005A00C2" w:rsidRDefault="005A00C2">
      <w:pPr>
        <w:spacing w:after="0" w:line="240" w:lineRule="auto"/>
      </w:pPr>
      <w:r>
        <w:separator/>
      </w:r>
    </w:p>
  </w:footnote>
  <w:footnote w:type="continuationSeparator" w:id="0">
    <w:p w14:paraId="0F8A7F62" w14:textId="77777777" w:rsidR="005A00C2" w:rsidRDefault="005A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1452" w14:textId="77777777" w:rsidR="00477B06" w:rsidRDefault="00477B06">
    <w:pPr>
      <w:tabs>
        <w:tab w:val="left" w:pos="945"/>
      </w:tabs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611F" w14:textId="77777777" w:rsidR="00477B06" w:rsidRDefault="00477B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06"/>
    <w:rsid w:val="001E773D"/>
    <w:rsid w:val="00477B06"/>
    <w:rsid w:val="005A00C2"/>
    <w:rsid w:val="00E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9009"/>
  <w15:docId w15:val="{CD6C2A7D-9BDD-614D-84D8-8D0C0172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after="0" w:line="240" w:lineRule="auto"/>
      <w:ind w:left="678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37/0022-006X.56.6.893" TargetMode="External"/><Relationship Id="rId18" Type="http://schemas.openxmlformats.org/officeDocument/2006/relationships/hyperlink" Target="https://doi.org/10.1590/S0103-73312016000300015" TargetMode="External"/><Relationship Id="rId26" Type="http://schemas.openxmlformats.org/officeDocument/2006/relationships/hyperlink" Target="https://www.ibge.gov.br/" TargetMode="External"/><Relationship Id="rId39" Type="http://schemas.openxmlformats.org/officeDocument/2006/relationships/hyperlink" Target="https://doi.org/10.1016/j.jocrd.2014.12.007" TargetMode="External"/><Relationship Id="rId21" Type="http://schemas.openxmlformats.org/officeDocument/2006/relationships/hyperlink" Target="https://doi.org/https://doi.org/10.1016/j.jpsychires.2021.03.046" TargetMode="External"/><Relationship Id="rId34" Type="http://schemas.openxmlformats.org/officeDocument/2006/relationships/hyperlink" Target="https://doi.org/10.1016/j.jocrd.2017.10.002" TargetMode="External"/><Relationship Id="rId42" Type="http://schemas.openxmlformats.org/officeDocument/2006/relationships/hyperlink" Target="https://doi.org/10.17795/ijpbs845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s://doi.org/10.1016/j.beth.2017.09.0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2/pds.3826" TargetMode="External"/><Relationship Id="rId29" Type="http://schemas.openxmlformats.org/officeDocument/2006/relationships/hyperlink" Target="https://www.nytimes.com/2021/05/06/world/americas/brazil-rio-police-shootout.html" TargetMode="External"/><Relationship Id="rId11" Type="http://schemas.openxmlformats.org/officeDocument/2006/relationships/hyperlink" Target="https://doi.org/10.1371/journal.pone.0031879" TargetMode="External"/><Relationship Id="rId24" Type="http://schemas.openxmlformats.org/officeDocument/2006/relationships/hyperlink" Target="https://doi.org/10.1001/archpsyc.1989.01810110048007" TargetMode="External"/><Relationship Id="rId32" Type="http://schemas.openxmlformats.org/officeDocument/2006/relationships/hyperlink" Target="https://biblioteca.ibge.gov.br/visualizacao/livros/liv63405.pdf" TargetMode="External"/><Relationship Id="rId37" Type="http://schemas.openxmlformats.org/officeDocument/2006/relationships/hyperlink" Target="https://doi.org/https://doi.org/10.1002/jclp.20757" TargetMode="External"/><Relationship Id="rId40" Type="http://schemas.openxmlformats.org/officeDocument/2006/relationships/hyperlink" Target="https://doi.org/10.1016/j.brat.2018.06.005" TargetMode="External"/><Relationship Id="rId45" Type="http://schemas.openxmlformats.org/officeDocument/2006/relationships/hyperlink" Target="https://doi.org/10.1037/a00262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jad.2018.02.023" TargetMode="External"/><Relationship Id="rId23" Type="http://schemas.openxmlformats.org/officeDocument/2006/relationships/hyperlink" Target="https://doi.org/10.1590/0102-311X00158412" TargetMode="External"/><Relationship Id="rId28" Type="http://schemas.openxmlformats.org/officeDocument/2006/relationships/hyperlink" Target="https://doi.org/10.1016/j.psychres.2017.04.024" TargetMode="External"/><Relationship Id="rId36" Type="http://schemas.openxmlformats.org/officeDocument/2006/relationships/hyperlink" Target="https://doi.org/10.1016/j.jocrd.2019.04.00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i.org/10.1590/S1516-44462000000300003" TargetMode="External"/><Relationship Id="rId19" Type="http://schemas.openxmlformats.org/officeDocument/2006/relationships/hyperlink" Target="https://pubmed.ncbi.nlm.nih.gov/8290681/" TargetMode="External"/><Relationship Id="rId31" Type="http://schemas.openxmlformats.org/officeDocument/2006/relationships/hyperlink" Target="https://doi.org/10.1016/j.janxdis.2016.03.006" TargetMode="External"/><Relationship Id="rId44" Type="http://schemas.openxmlformats.org/officeDocument/2006/relationships/hyperlink" Target="https://doi.org/10.1016/j.jocrd.2011.12.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jph.aphapublications.org/doi/abs/10.2105/AJPH.2006.087197" TargetMode="External"/><Relationship Id="rId14" Type="http://schemas.openxmlformats.org/officeDocument/2006/relationships/hyperlink" Target="https://psycnet.apa.org/doi/10.1037/a0016401" TargetMode="External"/><Relationship Id="rId22" Type="http://schemas.openxmlformats.org/officeDocument/2006/relationships/hyperlink" Target="https://doi.org/10.1016/j.jpsychires.2003.12.004" TargetMode="External"/><Relationship Id="rId27" Type="http://schemas.openxmlformats.org/officeDocument/2006/relationships/hyperlink" Target="https://doi.org/10.1016/j.jocrd.2018.07.003" TargetMode="External"/><Relationship Id="rId30" Type="http://schemas.openxmlformats.org/officeDocument/2006/relationships/hyperlink" Target="https://doi.org/10.1590/S1414-32832002000100006" TargetMode="External"/><Relationship Id="rId35" Type="http://schemas.openxmlformats.org/officeDocument/2006/relationships/hyperlink" Target="https://doi.org/10.1080/00141844.2010.544393" TargetMode="External"/><Relationship Id="rId43" Type="http://schemas.openxmlformats.org/officeDocument/2006/relationships/hyperlink" Target="https://doi.org/10.1159/000070785" TargetMode="External"/><Relationship Id="rId48" Type="http://schemas.openxmlformats.org/officeDocument/2006/relationships/header" Target="header2.xml"/><Relationship Id="rId8" Type="http://schemas.openxmlformats.org/officeDocument/2006/relationships/hyperlink" Target="https://doi.org/10.1146/annurev-clinpsy-032813-1537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80/1354850021000015258" TargetMode="External"/><Relationship Id="rId17" Type="http://schemas.openxmlformats.org/officeDocument/2006/relationships/hyperlink" Target="https://doi.org/10.1590/S0104-59702016000100005" TargetMode="External"/><Relationship Id="rId25" Type="http://schemas.openxmlformats.org/officeDocument/2006/relationships/hyperlink" Target="https://doi.org/10.1590/S1413-294X2000000200003" TargetMode="External"/><Relationship Id="rId33" Type="http://schemas.openxmlformats.org/officeDocument/2006/relationships/hyperlink" Target="https://doi.org/10.1371/journal.pone.0062270" TargetMode="External"/><Relationship Id="rId38" Type="http://schemas.openxmlformats.org/officeDocument/2006/relationships/hyperlink" Target="https://psycnet.apa.org/doi/10.1037/a0020508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doi.org/10.1176/appi.ajp.162.1.151" TargetMode="External"/><Relationship Id="rId41" Type="http://schemas.openxmlformats.org/officeDocument/2006/relationships/hyperlink" Target="https://doi.org/10.1016/j.bbi.2020.05.04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rlBTvlMc/6oTsy/2UFu1FekdPQ==">AMUW2mUdHFnuBOlODJICoURt1Ity5EBG4SjjTHrvFzj3yDrU6U7X0Yl3orZHbiJxLqROTrOEJxLGS/bDP8atgPL6sSbgjQ3RoU+umoRRGYbqG/wV+6izNPo=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8911</Words>
  <Characters>50795</Characters>
  <Application>Microsoft Office Word</Application>
  <DocSecurity>0</DocSecurity>
  <Lines>423</Lines>
  <Paragraphs>119</Paragraphs>
  <ScaleCrop>false</ScaleCrop>
  <Company/>
  <LinksUpToDate>false</LinksUpToDate>
  <CharactersWithSpaces>59587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Twohig</cp:lastModifiedBy>
  <cp:revision>2</cp:revision>
  <dcterms:created xsi:type="dcterms:W3CDTF">2022-04-08T21:06:00Z</dcterms:created>
  <dcterms:modified xsi:type="dcterms:W3CDTF">2022-04-08T21:06:00Z</dcterms:modified>
</cp:coreProperties>
</file>